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3692" w14:textId="77777777" w:rsidR="00AA615C" w:rsidRPr="00AA615C" w:rsidRDefault="00AA615C" w:rsidP="00AA615C">
      <w:pPr>
        <w:pStyle w:val="Sinespaciado"/>
        <w:jc w:val="center"/>
        <w:rPr>
          <w:rFonts w:ascii="Arial" w:hAnsi="Arial" w:cs="Arial"/>
          <w:b/>
          <w:sz w:val="24"/>
          <w:szCs w:val="24"/>
        </w:rPr>
      </w:pPr>
    </w:p>
    <w:p w14:paraId="149C336B" w14:textId="77777777" w:rsidR="00AA615C" w:rsidRPr="00701708" w:rsidRDefault="00AA615C" w:rsidP="00AA615C">
      <w:pPr>
        <w:pStyle w:val="Sinespaciado"/>
        <w:jc w:val="center"/>
        <w:rPr>
          <w:rFonts w:ascii="Arial" w:hAnsi="Arial" w:cs="Arial"/>
          <w:sz w:val="24"/>
          <w:szCs w:val="24"/>
        </w:rPr>
      </w:pPr>
      <w:r w:rsidRPr="00701708">
        <w:rPr>
          <w:rFonts w:ascii="Arial" w:hAnsi="Arial" w:cs="Arial"/>
          <w:sz w:val="24"/>
          <w:szCs w:val="24"/>
        </w:rPr>
        <w:t>FORMATO DE AUSENCIA DE CONFLICTO DE INTERÉS</w:t>
      </w:r>
    </w:p>
    <w:p w14:paraId="476D4213" w14:textId="77777777" w:rsidR="00AA615C" w:rsidRPr="00701708" w:rsidRDefault="00AA615C" w:rsidP="00AA615C">
      <w:pPr>
        <w:pStyle w:val="Sinespaciado"/>
        <w:jc w:val="center"/>
        <w:rPr>
          <w:rFonts w:ascii="Arial" w:hAnsi="Arial" w:cs="Arial"/>
          <w:sz w:val="24"/>
          <w:szCs w:val="24"/>
        </w:rPr>
      </w:pPr>
      <w:r w:rsidRPr="00701708">
        <w:rPr>
          <w:rFonts w:ascii="Arial" w:hAnsi="Arial" w:cs="Arial"/>
          <w:sz w:val="24"/>
          <w:szCs w:val="24"/>
        </w:rPr>
        <w:t>FORMATO PARA PERSONA MORAL</w:t>
      </w:r>
    </w:p>
    <w:p w14:paraId="458CA134" w14:textId="77777777" w:rsidR="00AA615C" w:rsidRPr="00701708" w:rsidRDefault="00AA615C" w:rsidP="00AA615C">
      <w:pPr>
        <w:pStyle w:val="Sinespaciado"/>
        <w:jc w:val="center"/>
        <w:rPr>
          <w:b/>
          <w:sz w:val="28"/>
          <w:szCs w:val="28"/>
        </w:rPr>
      </w:pPr>
    </w:p>
    <w:p w14:paraId="0E36C0E5" w14:textId="690F2FFC" w:rsidR="00AA615C" w:rsidRPr="00701708" w:rsidRDefault="00AA615C" w:rsidP="00AA615C">
      <w:pPr>
        <w:pStyle w:val="Sinespaciado"/>
        <w:rPr>
          <w:rFonts w:ascii="Arial" w:hAnsi="Arial" w:cs="Arial"/>
          <w:b/>
          <w:sz w:val="20"/>
          <w:szCs w:val="20"/>
        </w:rPr>
      </w:pPr>
      <w:r w:rsidRPr="00701708">
        <w:rPr>
          <w:rFonts w:ascii="Arial" w:hAnsi="Arial" w:cs="Arial"/>
          <w:b/>
          <w:sz w:val="20"/>
          <w:szCs w:val="20"/>
        </w:rPr>
        <w:t>COMITÉ DE ADQUISICIONES, ARRENDAMIENTOS, SERVICIOSY OBRA PÚBLICA DEL CONSEJO DE LA JUDICATURA DEL PODER JUDICIAL DEL ESTADO</w:t>
      </w:r>
    </w:p>
    <w:p w14:paraId="6592CC15" w14:textId="77777777" w:rsidR="00AA615C" w:rsidRPr="00701708" w:rsidRDefault="00AA615C" w:rsidP="00AA615C">
      <w:pPr>
        <w:pStyle w:val="Sinespaciado"/>
        <w:rPr>
          <w:rFonts w:ascii="Arial" w:hAnsi="Arial" w:cs="Arial"/>
          <w:b/>
          <w:sz w:val="20"/>
          <w:szCs w:val="20"/>
        </w:rPr>
      </w:pPr>
      <w:r w:rsidRPr="00701708">
        <w:rPr>
          <w:rFonts w:ascii="Arial" w:hAnsi="Arial" w:cs="Arial"/>
          <w:b/>
          <w:sz w:val="20"/>
          <w:szCs w:val="20"/>
        </w:rPr>
        <w:t xml:space="preserve">PRESENTE </w:t>
      </w:r>
    </w:p>
    <w:p w14:paraId="29132950" w14:textId="77777777" w:rsidR="00AA615C" w:rsidRPr="00701708" w:rsidRDefault="00AA615C" w:rsidP="005D31E4">
      <w:pPr>
        <w:pStyle w:val="Sinespaciado"/>
        <w:jc w:val="both"/>
        <w:rPr>
          <w:rFonts w:ascii="Arial" w:hAnsi="Arial" w:cs="Arial"/>
          <w:b/>
          <w:sz w:val="20"/>
          <w:szCs w:val="20"/>
        </w:rPr>
      </w:pPr>
    </w:p>
    <w:p w14:paraId="5F24AF03" w14:textId="77777777" w:rsidR="009A38C7" w:rsidRPr="00701708" w:rsidRDefault="00AA615C" w:rsidP="00E344A2">
      <w:pPr>
        <w:jc w:val="both"/>
      </w:pPr>
      <w:r w:rsidRPr="00701708">
        <w:t>Yo,</w:t>
      </w:r>
      <w:r w:rsidR="008176DC" w:rsidRPr="00701708">
        <w:t xml:space="preserve"> </w:t>
      </w:r>
      <w:r w:rsidRPr="00701708">
        <w:t>__________________</w:t>
      </w:r>
      <w:r w:rsidR="005D31E4" w:rsidRPr="00701708">
        <w:t>________________________</w:t>
      </w:r>
      <w:r w:rsidRPr="00701708">
        <w:t xml:space="preserve"> en mi</w:t>
      </w:r>
      <w:r w:rsidR="005D31E4" w:rsidRPr="00701708">
        <w:t xml:space="preserve"> </w:t>
      </w:r>
      <w:r w:rsidR="00E344A2" w:rsidRPr="00701708">
        <w:t>c</w:t>
      </w:r>
      <w:r w:rsidR="005D31E4" w:rsidRPr="00701708">
        <w:t>arácter de ____________</w:t>
      </w:r>
      <w:r w:rsidR="009A38C7" w:rsidRPr="00701708">
        <w:t xml:space="preserve">___ </w:t>
      </w:r>
      <w:proofErr w:type="spellStart"/>
      <w:r w:rsidR="009A38C7" w:rsidRPr="00701708">
        <w:t>de</w:t>
      </w:r>
      <w:proofErr w:type="spellEnd"/>
      <w:r w:rsidR="009A38C7" w:rsidRPr="00701708">
        <w:t xml:space="preserve"> la persona moral</w:t>
      </w:r>
      <w:r w:rsidR="005D31E4" w:rsidRPr="00701708">
        <w:t xml:space="preserve"> </w:t>
      </w:r>
      <w:r w:rsidR="008176DC" w:rsidRPr="00701708">
        <w:t>d</w:t>
      </w:r>
      <w:r w:rsidR="009A38C7" w:rsidRPr="00701708">
        <w:t>enomi</w:t>
      </w:r>
      <w:r w:rsidR="0010134A" w:rsidRPr="00701708">
        <w:t>na</w:t>
      </w:r>
      <w:r w:rsidR="009A38C7" w:rsidRPr="00701708">
        <w:t>da_____________________________________________ manifiesto</w:t>
      </w:r>
      <w:r w:rsidR="00E344A2" w:rsidRPr="00701708">
        <w:t xml:space="preserve"> b</w:t>
      </w:r>
      <w:r w:rsidR="009A38C7" w:rsidRPr="00701708">
        <w:t>ajo protesta de decir verdad, lo siguiente:</w:t>
      </w:r>
    </w:p>
    <w:p w14:paraId="1D5AF4D6" w14:textId="77777777" w:rsidR="0010134A" w:rsidRPr="00701708" w:rsidRDefault="0010134A" w:rsidP="003577F3">
      <w:pPr>
        <w:pStyle w:val="Prrafodelista"/>
        <w:numPr>
          <w:ilvl w:val="0"/>
          <w:numId w:val="1"/>
        </w:numPr>
        <w:jc w:val="both"/>
      </w:pPr>
      <w:r w:rsidRPr="00701708">
        <w:t xml:space="preserve">Que </w:t>
      </w:r>
      <w:r w:rsidR="00E344A2" w:rsidRPr="00701708">
        <w:t>ni el suscrito ni ninguno de</w:t>
      </w:r>
      <w:r w:rsidR="004B61EB" w:rsidRPr="00701708">
        <w:t xml:space="preserve"> los socios o accionistas que ejercen control sobre la </w:t>
      </w:r>
      <w:r w:rsidR="00E344A2" w:rsidRPr="00701708">
        <w:t>persona moral que represento</w:t>
      </w:r>
      <w:r w:rsidR="004B61EB" w:rsidRPr="00701708">
        <w:t xml:space="preserve"> desempeñan</w:t>
      </w:r>
      <w:r w:rsidRPr="00701708">
        <w:t xml:space="preserve"> empleo, cargo o comisión en el servicio público;</w:t>
      </w:r>
    </w:p>
    <w:p w14:paraId="456F7B0D" w14:textId="77777777" w:rsidR="0010134A" w:rsidRPr="00701708" w:rsidRDefault="0010134A" w:rsidP="0010134A">
      <w:pPr>
        <w:pStyle w:val="Prrafodelista"/>
        <w:ind w:left="1080"/>
      </w:pPr>
      <w:r w:rsidRPr="00701708">
        <w:t>(En caso de desempeñar algún empleo, cargo o comisión en el servicio público se deberá incluir lo siguiente)</w:t>
      </w:r>
    </w:p>
    <w:p w14:paraId="5026F73D" w14:textId="144FB616" w:rsidR="00D63BE0" w:rsidRDefault="0010134A" w:rsidP="00770F93">
      <w:pPr>
        <w:pStyle w:val="Prrafodelista"/>
        <w:pBdr>
          <w:bottom w:val="single" w:sz="12" w:space="1" w:color="auto"/>
        </w:pBdr>
        <w:ind w:left="1080"/>
      </w:pPr>
      <w:r w:rsidRPr="00701708">
        <w:t xml:space="preserve">Que desempeño el empleo, cargo o comisión en el servicio público siguiente: </w:t>
      </w:r>
    </w:p>
    <w:p w14:paraId="510933A5" w14:textId="77777777" w:rsidR="00770F93" w:rsidRPr="00701708" w:rsidRDefault="00770F93" w:rsidP="00770F93">
      <w:pPr>
        <w:pStyle w:val="Prrafodelista"/>
        <w:pBdr>
          <w:bottom w:val="single" w:sz="12" w:space="1" w:color="auto"/>
        </w:pBdr>
        <w:ind w:left="1080"/>
      </w:pPr>
    </w:p>
    <w:p w14:paraId="01E7B196" w14:textId="4A9C723E" w:rsidR="00FF69DB" w:rsidRPr="00770F93" w:rsidRDefault="00FF69DB" w:rsidP="0010134A">
      <w:pPr>
        <w:pStyle w:val="Prrafodelista"/>
        <w:ind w:left="1080"/>
        <w:rPr>
          <w:b/>
          <w:bCs/>
        </w:rPr>
      </w:pPr>
      <w:r w:rsidRPr="00701708">
        <w:t xml:space="preserve">; Sin embargo, con la </w:t>
      </w:r>
      <w:r w:rsidR="00770F93" w:rsidRPr="00701708">
        <w:t>formalización del</w:t>
      </w:r>
      <w:r w:rsidRPr="00701708">
        <w:t xml:space="preserve"> contrato correspondiente no se actualiza </w:t>
      </w:r>
      <w:r w:rsidRPr="00770F93">
        <w:rPr>
          <w:b/>
          <w:bCs/>
        </w:rPr>
        <w:t>un Conflicto de Interés.</w:t>
      </w:r>
    </w:p>
    <w:p w14:paraId="3094737A" w14:textId="77777777" w:rsidR="00FF69DB" w:rsidRPr="00701708" w:rsidRDefault="00FF69DB" w:rsidP="0010134A">
      <w:pPr>
        <w:pStyle w:val="Prrafodelista"/>
        <w:ind w:left="1080"/>
      </w:pPr>
    </w:p>
    <w:p w14:paraId="4A1EDAB3" w14:textId="77777777" w:rsidR="00D63BE0" w:rsidRPr="00701708" w:rsidRDefault="003577F3" w:rsidP="00E344A2">
      <w:pPr>
        <w:pStyle w:val="Prrafodelista"/>
        <w:numPr>
          <w:ilvl w:val="0"/>
          <w:numId w:val="1"/>
        </w:numPr>
        <w:jc w:val="both"/>
      </w:pPr>
      <w:r w:rsidRPr="00701708">
        <w:t xml:space="preserve">Que </w:t>
      </w:r>
      <w:r w:rsidR="00E344A2" w:rsidRPr="00701708">
        <w:t xml:space="preserve">el suscrito y los socios o accionistas que ejercen control sobre la persona moral que represento, </w:t>
      </w:r>
      <w:r w:rsidRPr="00701708">
        <w:t>tenemos  conocimiento</w:t>
      </w:r>
      <w:r w:rsidR="00FF69DB" w:rsidRPr="00701708">
        <w:t xml:space="preserve"> de quienes son los servidores públicos que intervienen en la </w:t>
      </w:r>
      <w:r w:rsidR="00BA7A32" w:rsidRPr="00701708">
        <w:t>tramitación,</w:t>
      </w:r>
      <w:r w:rsidR="00FF69DB" w:rsidRPr="00701708">
        <w:t xml:space="preserve"> atención y resolución de los procedimientos de contrataciones públicas en el Consejo de la Judicatura, así como d</w:t>
      </w:r>
      <w:r w:rsidRPr="00701708">
        <w:t>e su adscripción, y que no tenemos</w:t>
      </w:r>
      <w:r w:rsidR="00FF69DB" w:rsidRPr="00701708">
        <w:t xml:space="preserve"> conflicto de interés respecto de ellos</w:t>
      </w:r>
      <w:r w:rsidR="00BA7A32" w:rsidRPr="00701708">
        <w:t>.</w:t>
      </w:r>
    </w:p>
    <w:p w14:paraId="1CB8EB88" w14:textId="77777777" w:rsidR="00FE56A8" w:rsidRPr="00701708" w:rsidRDefault="00FE56A8" w:rsidP="00FE56A8">
      <w:pPr>
        <w:pStyle w:val="Prrafodelista"/>
        <w:ind w:left="1080"/>
      </w:pPr>
    </w:p>
    <w:p w14:paraId="7D308676" w14:textId="7C8BEC26" w:rsidR="00E344A2" w:rsidRDefault="00E344A2" w:rsidP="00E344A2">
      <w:pPr>
        <w:pStyle w:val="Prrafodelista"/>
        <w:numPr>
          <w:ilvl w:val="0"/>
          <w:numId w:val="1"/>
        </w:numPr>
        <w:jc w:val="both"/>
      </w:pPr>
      <w:r w:rsidRPr="00701708">
        <w:t>Que ni el suscrito ni ninguno de los socios o accionistas que ejercen control sobre la persona moral que represento, tiene interés personal, familiar o de negocios con ningún miembro del Comité de Adquisiciones, ni puede resultar ningún beneficio para ellos, sus cónyuges, parientes consanguíneos, por afinidad o civiles, o para terceros con los que tengan relaciones profesionales, laborales o de negocios, o para socios o sociedades de las que algún miembro de dicho Comité o las personas antes referidas formen parte o hayan formado parte.</w:t>
      </w:r>
    </w:p>
    <w:p w14:paraId="1EEF6F48" w14:textId="77777777" w:rsidR="00770F93" w:rsidRPr="00701708" w:rsidRDefault="00770F93" w:rsidP="00770F93">
      <w:pPr>
        <w:pStyle w:val="Prrafodelista"/>
        <w:ind w:left="1080"/>
        <w:jc w:val="both"/>
      </w:pPr>
    </w:p>
    <w:p w14:paraId="6FE1810A" w14:textId="77777777" w:rsidR="00E344A2" w:rsidRPr="00701708" w:rsidRDefault="00E344A2" w:rsidP="00E344A2">
      <w:pPr>
        <w:pStyle w:val="Prrafodelista"/>
        <w:numPr>
          <w:ilvl w:val="0"/>
          <w:numId w:val="1"/>
        </w:numPr>
        <w:jc w:val="both"/>
      </w:pPr>
      <w:r w:rsidRPr="00701708">
        <w:t>Que ni el suscrito ni ninguno de los socios o accionistas que ejercen control sobre la persona moral que represento, actualiza ninguno de los criterios de abstención previstos en el artículo 16 del Reglamento de Adquisiciones, Arrendamientos, Servicios y Obra Pública del Consejo de la Judicatura del Poder Judicial del Estado de Yucatán.</w:t>
      </w:r>
    </w:p>
    <w:p w14:paraId="438E9187"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“Criterios de abstención:</w:t>
      </w:r>
    </w:p>
    <w:p w14:paraId="4F71C6D4"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ARTÍCULO 16. El Tribunal se abstendrá de celebrar cualquier tipo de operación o contrato en las materias a que se refiere este instrumento, con las personas físicas o morales siguientes:</w:t>
      </w:r>
    </w:p>
    <w:p w14:paraId="5AE5843D"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lastRenderedPageBreak/>
        <w:t>I. Las que desempeñen un empleo, cargo o comisión en el Tribunal, o bien, las sociedades de las que dichas personas formen parte;</w:t>
      </w:r>
    </w:p>
    <w:p w14:paraId="320EEE1B"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I Bis. Las que con motivo de su desempeño en un empleo, cargo o comisión en un ente público diverso al Tribunal puedan colocarse en un conflicto de intereses con la formalización del contrato;</w:t>
      </w:r>
    </w:p>
    <w:p w14:paraId="01D14267"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II. Las inhabilitadas para desempeñar un empleo, cargo o comisión en el servicio público, o bien las sociedades en que dichas personas formen parte;</w:t>
      </w:r>
    </w:p>
    <w:p w14:paraId="53ED0C8F"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III. Aquellas en que cualquier miembro del Comité de Adquisiciones, tenga interés personal, familiar o de negocios, incluyendo aquellas de las que pueda resultar algún beneficio para él, su cónyuge, sus parientes consanguíneos, por afinidad o civiles, o para terceros con los que tenga relaciones profesionales, laborales o de negocios, o para socios o sociedades de las que el miembro del Comité de Adquisiciones o las personas antes referidas formen parte o hayan formado parte;</w:t>
      </w:r>
    </w:p>
    <w:p w14:paraId="4807AB0F"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IV. Aquellos proveedores que, por causas imputables a ellos mismos, el Tribunal les hubiere rescindido administrativamente más de un contrato cualquiera que sea la causa o motivo;</w:t>
      </w:r>
    </w:p>
    <w:p w14:paraId="693A3883"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V. Las que se encuentren inhabilitadas para participar en adquisiciones, arrendamientos, servicios u obras públicas por las autoridades competentes;</w:t>
      </w:r>
    </w:p>
    <w:p w14:paraId="7996E02A"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V Bis. Las que se encuentren en la situación de operaciones presuntamente inexistentes y listados definitivos a que se refiere el artículo 69-B del Código Fiscal de la Federación;</w:t>
      </w:r>
    </w:p>
    <w:p w14:paraId="2C229EA6"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VI. Las que hayan sido declaradas en suspensión de pagos, estado de quiebra o sujetas a concurso de acreedores o que alguna resolución judicial las haya condenado por delito o incumplimiento de contrato;</w:t>
      </w:r>
    </w:p>
    <w:p w14:paraId="472D15A7"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VI. Bis. Aquellas que se encuentren inscritas en el Registro de Deudores Alimentarios</w:t>
      </w:r>
    </w:p>
    <w:p w14:paraId="27A48F38"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Morosos de Yucatán.</w:t>
      </w:r>
    </w:p>
    <w:p w14:paraId="6F17323B"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 xml:space="preserve">VII. Aquellas que por sí mismas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 y </w:t>
      </w:r>
    </w:p>
    <w:p w14:paraId="67EEE7EF"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VIII. Las que celebren contratos sin estar facultadas para hacer uso de derechos de propiedad intelectual.</w:t>
      </w:r>
    </w:p>
    <w:p w14:paraId="5344A83F" w14:textId="77777777" w:rsidR="00770F93" w:rsidRPr="00770F93" w:rsidRDefault="00770F93" w:rsidP="00770F93">
      <w:pPr>
        <w:widowControl w:val="0"/>
        <w:tabs>
          <w:tab w:val="left" w:pos="2820"/>
        </w:tabs>
        <w:autoSpaceDE w:val="0"/>
        <w:autoSpaceDN w:val="0"/>
        <w:adjustRightInd w:val="0"/>
        <w:ind w:left="426" w:right="68"/>
        <w:jc w:val="both"/>
        <w:rPr>
          <w:rFonts w:eastAsia="Times New Roman"/>
          <w:sz w:val="16"/>
          <w:szCs w:val="16"/>
        </w:rPr>
      </w:pPr>
      <w:r w:rsidRPr="00770F93">
        <w:rPr>
          <w:rFonts w:eastAsia="Times New Roman"/>
          <w:sz w:val="16"/>
          <w:szCs w:val="16"/>
        </w:rPr>
        <w:t>La verificación de los supuestos anteriores correrá a cargo de la Dirección de Administración a través de la revisión de las bases de datos y archivos con que cuente el Consejo de la Judicatura, de los sistemas específicos de la Plataforma Digital Nacional a que se refiere la Ley General del Sistema Nacional Anticorrupción, la página electrónica del Servicio de Administración Tributaria, del Registro de Deudores Alimentarios Morosos de Yucatán y demás fuentes de acceso público que pudieran contener la información de que se trate, para lo cual se levantará la constancia de verificación correspondiente, independientemente de las declaraciones bajo formal protesta de decir verdad que, en su caso, se le soliciten al proveedor”.</w:t>
      </w:r>
    </w:p>
    <w:p w14:paraId="2939263D" w14:textId="77777777" w:rsidR="00770F93" w:rsidRPr="00544759" w:rsidRDefault="00770F93" w:rsidP="00770F93">
      <w:pPr>
        <w:widowControl w:val="0"/>
        <w:tabs>
          <w:tab w:val="left" w:pos="2820"/>
        </w:tabs>
        <w:autoSpaceDE w:val="0"/>
        <w:autoSpaceDN w:val="0"/>
        <w:adjustRightInd w:val="0"/>
        <w:ind w:right="68"/>
        <w:jc w:val="right"/>
        <w:rPr>
          <w:rFonts w:eastAsia="Times New Roman"/>
          <w:b/>
        </w:rPr>
      </w:pPr>
      <w:r w:rsidRPr="00544759">
        <w:rPr>
          <w:rFonts w:eastAsia="Times New Roman"/>
          <w:b/>
        </w:rPr>
        <w:t>Lugar y fecha….</w:t>
      </w:r>
    </w:p>
    <w:p w14:paraId="2796A683" w14:textId="77777777" w:rsidR="0054638B" w:rsidRPr="00770F93" w:rsidRDefault="0054638B" w:rsidP="0054638B">
      <w:pPr>
        <w:pStyle w:val="Textoindependiente"/>
        <w:spacing w:before="0" w:beforeAutospacing="0" w:after="0" w:afterAutospacing="0"/>
        <w:ind w:firstLine="708"/>
        <w:jc w:val="center"/>
        <w:rPr>
          <w:rFonts w:ascii="Arial" w:hAnsi="Arial" w:cs="Arial"/>
          <w:bCs/>
          <w:sz w:val="22"/>
          <w:szCs w:val="22"/>
        </w:rPr>
      </w:pPr>
    </w:p>
    <w:tbl>
      <w:tblPr>
        <w:tblW w:w="0" w:type="auto"/>
        <w:jc w:val="center"/>
        <w:tblCellMar>
          <w:left w:w="0" w:type="dxa"/>
          <w:right w:w="0" w:type="dxa"/>
        </w:tblCellMar>
        <w:tblLook w:val="0000" w:firstRow="0" w:lastRow="0" w:firstColumn="0" w:lastColumn="0" w:noHBand="0" w:noVBand="0"/>
      </w:tblPr>
      <w:tblGrid>
        <w:gridCol w:w="4320"/>
      </w:tblGrid>
      <w:tr w:rsidR="0054638B" w14:paraId="2379614C" w14:textId="77777777" w:rsidTr="0067202F">
        <w:trPr>
          <w:trHeight w:val="540"/>
          <w:jc w:val="center"/>
        </w:trPr>
        <w:tc>
          <w:tcPr>
            <w:tcW w:w="4320" w:type="dxa"/>
            <w:tcBorders>
              <w:top w:val="single" w:sz="4" w:space="0" w:color="auto"/>
              <w:left w:val="nil"/>
              <w:bottom w:val="nil"/>
              <w:right w:val="nil"/>
            </w:tcBorders>
            <w:tcMar>
              <w:top w:w="0" w:type="dxa"/>
              <w:left w:w="70" w:type="dxa"/>
              <w:bottom w:w="0" w:type="dxa"/>
              <w:right w:w="70" w:type="dxa"/>
            </w:tcMar>
          </w:tcPr>
          <w:p w14:paraId="597EAE3B" w14:textId="77777777" w:rsidR="0054638B" w:rsidRPr="00701708" w:rsidRDefault="0054638B" w:rsidP="0067202F">
            <w:pPr>
              <w:jc w:val="center"/>
              <w:rPr>
                <w:rFonts w:ascii="Arial" w:hAnsi="Arial" w:cs="Arial"/>
                <w:b/>
                <w:color w:val="000000"/>
              </w:rPr>
            </w:pPr>
            <w:r w:rsidRPr="00701708">
              <w:rPr>
                <w:rFonts w:ascii="Arial" w:hAnsi="Arial" w:cs="Arial"/>
                <w:b/>
                <w:color w:val="000000"/>
              </w:rPr>
              <w:t xml:space="preserve">Bajo Protesto de Decir Verdad </w:t>
            </w:r>
          </w:p>
          <w:p w14:paraId="4650C3EE" w14:textId="2BC2A2FA" w:rsidR="0054638B" w:rsidRDefault="0054638B" w:rsidP="0067202F">
            <w:pPr>
              <w:jc w:val="center"/>
              <w:rPr>
                <w:rFonts w:ascii="Arial" w:hAnsi="Arial" w:cs="Arial"/>
                <w:b/>
              </w:rPr>
            </w:pPr>
            <w:r w:rsidRPr="00701708">
              <w:rPr>
                <w:rFonts w:ascii="Arial" w:hAnsi="Arial" w:cs="Arial"/>
                <w:b/>
                <w:color w:val="000000"/>
              </w:rPr>
              <w:t>(Nombre y firma del representante o apoderado legal)</w:t>
            </w:r>
          </w:p>
        </w:tc>
      </w:tr>
    </w:tbl>
    <w:p w14:paraId="0296604D" w14:textId="77777777" w:rsidR="009A38C7" w:rsidRDefault="009A38C7" w:rsidP="00770F93"/>
    <w:sectPr w:rsidR="009A38C7" w:rsidSect="003840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E71"/>
    <w:multiLevelType w:val="hybridMultilevel"/>
    <w:tmpl w:val="069612D6"/>
    <w:lvl w:ilvl="0" w:tplc="AAC253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8A0E49"/>
    <w:multiLevelType w:val="hybridMultilevel"/>
    <w:tmpl w:val="210ABE54"/>
    <w:lvl w:ilvl="0" w:tplc="AAC253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5C"/>
    <w:rsid w:val="0010134A"/>
    <w:rsid w:val="00274D8D"/>
    <w:rsid w:val="002E4028"/>
    <w:rsid w:val="003577F3"/>
    <w:rsid w:val="00384008"/>
    <w:rsid w:val="00461371"/>
    <w:rsid w:val="004B61EB"/>
    <w:rsid w:val="0054638B"/>
    <w:rsid w:val="005D31E4"/>
    <w:rsid w:val="005D5819"/>
    <w:rsid w:val="00601F6E"/>
    <w:rsid w:val="00602DFC"/>
    <w:rsid w:val="00651388"/>
    <w:rsid w:val="006B2801"/>
    <w:rsid w:val="00701708"/>
    <w:rsid w:val="00770F93"/>
    <w:rsid w:val="00791A04"/>
    <w:rsid w:val="008176DC"/>
    <w:rsid w:val="008A394B"/>
    <w:rsid w:val="008C4381"/>
    <w:rsid w:val="009A38C7"/>
    <w:rsid w:val="009E1BD0"/>
    <w:rsid w:val="00AA615C"/>
    <w:rsid w:val="00AC64F5"/>
    <w:rsid w:val="00BA7A32"/>
    <w:rsid w:val="00D63BE0"/>
    <w:rsid w:val="00E344A2"/>
    <w:rsid w:val="00E60005"/>
    <w:rsid w:val="00F503E4"/>
    <w:rsid w:val="00FE56A8"/>
    <w:rsid w:val="00FF69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3C54"/>
  <w15:docId w15:val="{24FD327D-FE30-4281-A39D-43AB606F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A615C"/>
    <w:pPr>
      <w:spacing w:after="0" w:line="240" w:lineRule="auto"/>
    </w:pPr>
  </w:style>
  <w:style w:type="paragraph" w:styleId="Prrafodelista">
    <w:name w:val="List Paragraph"/>
    <w:basedOn w:val="Normal"/>
    <w:uiPriority w:val="34"/>
    <w:qFormat/>
    <w:rsid w:val="0010134A"/>
    <w:pPr>
      <w:ind w:left="720"/>
      <w:contextualSpacing/>
    </w:pPr>
  </w:style>
  <w:style w:type="paragraph" w:styleId="Textoindependiente">
    <w:name w:val="Body Text"/>
    <w:basedOn w:val="Normal"/>
    <w:link w:val="TextoindependienteCar"/>
    <w:rsid w:val="005463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54638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4D15B-2918-4D74-8C14-A5FCB4CA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833</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ehoil</dc:creator>
  <cp:lastModifiedBy>wendy.chulim</cp:lastModifiedBy>
  <cp:revision>4</cp:revision>
  <cp:lastPrinted>2018-01-12T18:20:00Z</cp:lastPrinted>
  <dcterms:created xsi:type="dcterms:W3CDTF">2020-09-18T13:27:00Z</dcterms:created>
  <dcterms:modified xsi:type="dcterms:W3CDTF">2022-04-19T15:52:00Z</dcterms:modified>
</cp:coreProperties>
</file>